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ADD2" w14:textId="2732FA01" w:rsidR="003069B0" w:rsidRDefault="007A4F5C">
      <w:r w:rsidRPr="00B474A3">
        <w:t xml:space="preserve">V Praze </w:t>
      </w:r>
      <w:r w:rsidR="004F5650">
        <w:t>24</w:t>
      </w:r>
      <w:r w:rsidRPr="00B474A3">
        <w:t xml:space="preserve">. </w:t>
      </w:r>
      <w:r w:rsidR="004F5650">
        <w:t xml:space="preserve">května </w:t>
      </w:r>
      <w:r w:rsidRPr="00B474A3">
        <w:t>2022</w:t>
      </w:r>
    </w:p>
    <w:p w14:paraId="08951F46" w14:textId="559CDC97" w:rsidR="00E95A52" w:rsidRPr="00E95A52" w:rsidRDefault="00B57D60" w:rsidP="004F5650">
      <w:pPr>
        <w:rPr>
          <w:color w:val="0073AB"/>
          <w:sz w:val="36"/>
          <w:szCs w:val="36"/>
        </w:rPr>
      </w:pPr>
      <w:r>
        <w:rPr>
          <w:color w:val="0073AB"/>
          <w:sz w:val="36"/>
          <w:szCs w:val="36"/>
        </w:rPr>
        <w:t>Klinická hodnocení léčiv</w:t>
      </w:r>
      <w:r w:rsidR="00A628EC">
        <w:rPr>
          <w:color w:val="0073AB"/>
          <w:sz w:val="36"/>
          <w:szCs w:val="36"/>
        </w:rPr>
        <w:t>. Co přinášejí českým pacientům?</w:t>
      </w:r>
      <w:r>
        <w:rPr>
          <w:color w:val="0073AB"/>
          <w:sz w:val="36"/>
          <w:szCs w:val="36"/>
        </w:rPr>
        <w:t xml:space="preserve"> </w:t>
      </w:r>
    </w:p>
    <w:p w14:paraId="0D89CBC9" w14:textId="2F43588D" w:rsidR="004F5650" w:rsidRDefault="004F5650" w:rsidP="00213FB3">
      <w:pPr>
        <w:rPr>
          <w:b/>
        </w:rPr>
      </w:pPr>
      <w:r>
        <w:rPr>
          <w:b/>
        </w:rPr>
        <w:t>Výzkum nových léčiv, tzv. klinick</w:t>
      </w:r>
      <w:r w:rsidR="00CB5538">
        <w:rPr>
          <w:b/>
        </w:rPr>
        <w:t>á</w:t>
      </w:r>
      <w:r>
        <w:rPr>
          <w:b/>
        </w:rPr>
        <w:t xml:space="preserve"> hodnocení (KH), j</w:t>
      </w:r>
      <w:r w:rsidR="00CB5538">
        <w:rPr>
          <w:b/>
        </w:rPr>
        <w:t>sou</w:t>
      </w:r>
      <w:r>
        <w:rPr>
          <w:b/>
        </w:rPr>
        <w:t xml:space="preserve"> prestižním, komplikovaným procesem probíhajícím po celém světě, vč</w:t>
      </w:r>
      <w:r w:rsidR="00CB5538">
        <w:rPr>
          <w:b/>
        </w:rPr>
        <w:t>etně</w:t>
      </w:r>
      <w:r>
        <w:rPr>
          <w:b/>
        </w:rPr>
        <w:t xml:space="preserve"> České republiky. V roce 2021 do n</w:t>
      </w:r>
      <w:r w:rsidR="00CB5538">
        <w:rPr>
          <w:b/>
        </w:rPr>
        <w:t>ich</w:t>
      </w:r>
      <w:r>
        <w:rPr>
          <w:b/>
        </w:rPr>
        <w:t xml:space="preserve"> bylo zapojeno více než 16</w:t>
      </w:r>
      <w:r w:rsidR="00424F59">
        <w:rPr>
          <w:b/>
        </w:rPr>
        <w:t> </w:t>
      </w:r>
      <w:r>
        <w:rPr>
          <w:b/>
        </w:rPr>
        <w:t>tisíc českých pacientů. Jedním z nich je i pan Lukáš Vacek,</w:t>
      </w:r>
      <w:r w:rsidR="00CB5538">
        <w:rPr>
          <w:b/>
        </w:rPr>
        <w:t xml:space="preserve"> </w:t>
      </w:r>
      <w:r w:rsidR="000B498F">
        <w:rPr>
          <w:b/>
        </w:rPr>
        <w:t>zástupce pacientské organizace Pacienti IBD, z.s.</w:t>
      </w:r>
      <w:r>
        <w:rPr>
          <w:b/>
        </w:rPr>
        <w:t xml:space="preserve"> </w:t>
      </w:r>
      <w:r w:rsidRPr="00FF4A5F">
        <w:rPr>
          <w:b/>
          <w:i/>
          <w:iCs/>
        </w:rPr>
        <w:t>„Vzhledem k</w:t>
      </w:r>
      <w:r w:rsidR="002E7384">
        <w:rPr>
          <w:b/>
          <w:i/>
          <w:iCs/>
        </w:rPr>
        <w:t> </w:t>
      </w:r>
      <w:r w:rsidRPr="00FF4A5F">
        <w:rPr>
          <w:b/>
          <w:i/>
          <w:iCs/>
        </w:rPr>
        <w:t>tomu, že i biologická léčba u mě časem ztrácela efektivitu, bylo nutné postupně přecházet na novější léčiva, zapojení do klinického hodnocení byl</w:t>
      </w:r>
      <w:r w:rsidR="00B57D60">
        <w:rPr>
          <w:b/>
          <w:i/>
          <w:iCs/>
        </w:rPr>
        <w:t>o</w:t>
      </w:r>
      <w:r w:rsidRPr="00FF4A5F">
        <w:rPr>
          <w:b/>
          <w:i/>
          <w:iCs/>
        </w:rPr>
        <w:t xml:space="preserve"> tedy další</w:t>
      </w:r>
      <w:r w:rsidR="00B57D60">
        <w:rPr>
          <w:b/>
          <w:i/>
          <w:iCs/>
        </w:rPr>
        <w:t>m</w:t>
      </w:r>
      <w:r w:rsidRPr="00FF4A5F">
        <w:rPr>
          <w:b/>
          <w:i/>
          <w:iCs/>
        </w:rPr>
        <w:t xml:space="preserve"> logický</w:t>
      </w:r>
      <w:r w:rsidR="00B57D60">
        <w:rPr>
          <w:b/>
          <w:i/>
          <w:iCs/>
        </w:rPr>
        <w:t>m</w:t>
      </w:r>
      <w:r w:rsidRPr="00FF4A5F">
        <w:rPr>
          <w:b/>
          <w:i/>
          <w:iCs/>
        </w:rPr>
        <w:t xml:space="preserve"> krok</w:t>
      </w:r>
      <w:r w:rsidR="00B57D60">
        <w:rPr>
          <w:b/>
          <w:i/>
          <w:iCs/>
        </w:rPr>
        <w:t>em</w:t>
      </w:r>
      <w:r w:rsidRPr="00FF4A5F">
        <w:rPr>
          <w:b/>
          <w:i/>
          <w:iCs/>
        </w:rPr>
        <w:t>. Moje současná léčba</w:t>
      </w:r>
      <w:r w:rsidR="002E7384">
        <w:rPr>
          <w:b/>
          <w:i/>
          <w:iCs/>
        </w:rPr>
        <w:t xml:space="preserve"> pozitivně</w:t>
      </w:r>
      <w:r w:rsidRPr="00FF4A5F">
        <w:rPr>
          <w:b/>
          <w:i/>
          <w:iCs/>
        </w:rPr>
        <w:t xml:space="preserve"> ovlivňuje jak soukromý, tak i pracovní život</w:t>
      </w:r>
      <w:r>
        <w:rPr>
          <w:b/>
          <w:i/>
          <w:iCs/>
        </w:rPr>
        <w:t xml:space="preserve"> a můžu říct, že po</w:t>
      </w:r>
      <w:r w:rsidRPr="00FF4A5F">
        <w:rPr>
          <w:b/>
          <w:i/>
          <w:iCs/>
        </w:rPr>
        <w:t xml:space="preserve"> jejím zavedení se kvalita mého života výrazně zlepšila,”</w:t>
      </w:r>
      <w:r>
        <w:rPr>
          <w:b/>
        </w:rPr>
        <w:t xml:space="preserve"> říká o zapojení do klinického hodnocení. </w:t>
      </w:r>
      <w:bookmarkStart w:id="0" w:name="_gjdgxs" w:colFirst="0" w:colLast="0"/>
      <w:bookmarkEnd w:id="0"/>
    </w:p>
    <w:p w14:paraId="7A5B8C8C" w14:textId="16DA3DD3" w:rsidR="004F5650" w:rsidRDefault="00B10AAD" w:rsidP="004F5650">
      <w:pPr>
        <w:spacing w:line="276" w:lineRule="auto"/>
        <w:rPr>
          <w:b/>
          <w:i/>
        </w:rPr>
      </w:pPr>
      <w:bookmarkStart w:id="1" w:name="_hz1blqga8u78" w:colFirst="0" w:colLast="0"/>
      <w:bookmarkEnd w:id="1"/>
      <w:r w:rsidRPr="00F3626B">
        <w:rPr>
          <w:iC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A7ABDED" wp14:editId="10A6CD1C">
                <wp:simplePos x="0" y="0"/>
                <wp:positionH relativeFrom="margin">
                  <wp:posOffset>3176905</wp:posOffset>
                </wp:positionH>
                <wp:positionV relativeFrom="margin">
                  <wp:posOffset>2230120</wp:posOffset>
                </wp:positionV>
                <wp:extent cx="2599055" cy="1865630"/>
                <wp:effectExtent l="12700" t="12700" r="17145" b="13970"/>
                <wp:wrapTight wrapText="bothSides">
                  <wp:wrapPolygon edited="0">
                    <wp:start x="-106" y="-147"/>
                    <wp:lineTo x="-106" y="21615"/>
                    <wp:lineTo x="21637" y="21615"/>
                    <wp:lineTo x="21637" y="-147"/>
                    <wp:lineTo x="-106" y="-147"/>
                  </wp:wrapPolygon>
                </wp:wrapTight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055" cy="18656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025F9" w14:textId="77777777" w:rsidR="00B10AAD" w:rsidRPr="007901CD" w:rsidRDefault="00B10AAD" w:rsidP="00B10AA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01CD">
                              <w:rPr>
                                <w:b/>
                                <w:bCs/>
                              </w:rPr>
                              <w:t>Klinická hodnocení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AIFP</w:t>
                            </w:r>
                            <w:r w:rsidRPr="007901CD">
                              <w:rPr>
                                <w:b/>
                                <w:bCs/>
                              </w:rPr>
                              <w:t xml:space="preserve"> v ČR (2021)</w:t>
                            </w:r>
                          </w:p>
                          <w:p w14:paraId="187DA56A" w14:textId="77777777" w:rsidR="00B10AAD" w:rsidRPr="007901CD" w:rsidRDefault="00B10AAD" w:rsidP="00B10AAD">
                            <w:pPr>
                              <w:ind w:left="1440" w:hanging="1440"/>
                              <w:jc w:val="left"/>
                            </w:pPr>
                            <w:r w:rsidRPr="007901CD">
                              <w:rPr>
                                <w:b/>
                                <w:bCs/>
                              </w:rPr>
                              <w:t>396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</w:t>
                            </w:r>
                            <w:r w:rsidRPr="007901CD">
                              <w:t xml:space="preserve">realizovaných KH </w:t>
                            </w:r>
                          </w:p>
                          <w:p w14:paraId="273F92D3" w14:textId="77777777" w:rsidR="00B10AAD" w:rsidRPr="007901CD" w:rsidRDefault="00B10AAD" w:rsidP="00B10AAD">
                            <w:pPr>
                              <w:jc w:val="left"/>
                            </w:pPr>
                            <w:r w:rsidRPr="007901CD">
                              <w:rPr>
                                <w:b/>
                                <w:bCs/>
                              </w:rPr>
                              <w:t>112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 xml:space="preserve">       </w:t>
                            </w:r>
                            <w:r w:rsidRPr="007901CD">
                              <w:t xml:space="preserve">nově započatých KH </w:t>
                            </w:r>
                          </w:p>
                          <w:p w14:paraId="4CF06EC9" w14:textId="77777777" w:rsidR="00B10AAD" w:rsidRPr="007901CD" w:rsidRDefault="00B10AAD" w:rsidP="00B10AAD">
                            <w:pPr>
                              <w:ind w:left="1440" w:hanging="1440"/>
                              <w:jc w:val="left"/>
                            </w:pPr>
                            <w:r w:rsidRPr="007901CD">
                              <w:rPr>
                                <w:b/>
                                <w:bCs/>
                              </w:rPr>
                              <w:t>16</w:t>
                            </w:r>
                            <w:r>
                              <w:rPr>
                                <w:b/>
                                <w:bCs/>
                              </w:rPr>
                              <w:t> </w:t>
                            </w:r>
                            <w:r w:rsidRPr="007901CD">
                              <w:rPr>
                                <w:b/>
                                <w:bCs/>
                              </w:rPr>
                              <w:t>069</w:t>
                            </w:r>
                            <w:r>
                              <w:t xml:space="preserve">         </w:t>
                            </w:r>
                            <w:r w:rsidRPr="007901CD">
                              <w:t xml:space="preserve">zapojených pacientů </w:t>
                            </w:r>
                          </w:p>
                          <w:p w14:paraId="3ED6EF75" w14:textId="77777777" w:rsidR="00B10AAD" w:rsidRPr="007901CD" w:rsidRDefault="00B10AAD" w:rsidP="00B10AAD">
                            <w:pPr>
                              <w:ind w:left="1438" w:hanging="1460"/>
                              <w:jc w:val="left"/>
                            </w:pPr>
                            <w:r w:rsidRPr="007901CD">
                              <w:rPr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</w:rPr>
                              <w:t> </w:t>
                            </w:r>
                            <w:r w:rsidRPr="007901CD">
                              <w:rPr>
                                <w:b/>
                                <w:bCs/>
                              </w:rPr>
                              <w:t>891</w:t>
                            </w:r>
                            <w:r>
                              <w:t xml:space="preserve">            </w:t>
                            </w:r>
                            <w:r w:rsidRPr="007901CD">
                              <w:t>zapojených výzkumnýc</w:t>
                            </w:r>
                            <w:r>
                              <w:t>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901CD">
                              <w:t>týmů</w:t>
                            </w:r>
                          </w:p>
                          <w:p w14:paraId="56AD3E8F" w14:textId="77777777" w:rsidR="00B10AAD" w:rsidRDefault="00B10AAD" w:rsidP="00B10AAD">
                            <w:pPr>
                              <w:ind w:left="1440" w:hanging="144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3,4–</w:t>
                            </w:r>
                          </w:p>
                          <w:p w14:paraId="4F45D2BC" w14:textId="77777777" w:rsidR="00B10AAD" w:rsidRPr="007901CD" w:rsidRDefault="00B10AAD" w:rsidP="00B10AAD">
                            <w:pPr>
                              <w:ind w:left="1440" w:hanging="144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7901CD">
                              <w:rPr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7901CD">
                              <w:rPr>
                                <w:b/>
                                <w:bCs/>
                              </w:rPr>
                              <w:t xml:space="preserve"> mld. </w:t>
                            </w:r>
                            <w:r>
                              <w:rPr>
                                <w:b/>
                                <w:bCs/>
                              </w:rPr>
                              <w:t>K</w:t>
                            </w:r>
                            <w:r w:rsidRPr="007901CD">
                              <w:rPr>
                                <w:b/>
                                <w:bCs/>
                              </w:rPr>
                              <w:t>č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t>úspory zdrav. systému</w:t>
                            </w:r>
                          </w:p>
                          <w:p w14:paraId="44B24785" w14:textId="77777777" w:rsidR="00B10AAD" w:rsidRPr="007901CD" w:rsidRDefault="00B10AAD" w:rsidP="00B10AAD">
                            <w:pPr>
                              <w:ind w:left="1440" w:hanging="1440"/>
                              <w:jc w:val="left"/>
                            </w:pPr>
                            <w:r w:rsidRPr="007901CD">
                              <w:tab/>
                            </w:r>
                            <w:r w:rsidRPr="007901CD"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ABDED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250.15pt;margin-top:175.6pt;width:204.65pt;height:146.9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" fillcolor="white [3201]" strokecolor="#9bbb59 [3206]" strokeweight="2pt">
                <v:textbox>
                  <w:txbxContent>
                    <w:p w14:paraId="5AC025F9" w14:textId="77777777" w:rsidR="00B10AAD" w:rsidRPr="007901CD" w:rsidRDefault="00B10AAD" w:rsidP="00B10AAD">
                      <w:pPr>
                        <w:rPr>
                          <w:b/>
                          <w:bCs/>
                        </w:rPr>
                      </w:pPr>
                      <w:r w:rsidRPr="007901CD">
                        <w:rPr>
                          <w:b/>
                          <w:bCs/>
                        </w:rPr>
                        <w:t>Klinická hodnocení</w:t>
                      </w:r>
                      <w:r>
                        <w:rPr>
                          <w:b/>
                          <w:bCs/>
                        </w:rPr>
                        <w:t xml:space="preserve"> AIFP</w:t>
                      </w:r>
                      <w:r w:rsidRPr="007901CD">
                        <w:rPr>
                          <w:b/>
                          <w:bCs/>
                        </w:rPr>
                        <w:t xml:space="preserve"> v ČR (2021)</w:t>
                      </w:r>
                    </w:p>
                    <w:p w14:paraId="187DA56A" w14:textId="77777777" w:rsidR="00B10AAD" w:rsidRPr="007901CD" w:rsidRDefault="00B10AAD" w:rsidP="00B10AAD">
                      <w:pPr>
                        <w:ind w:left="1440" w:hanging="1440"/>
                        <w:jc w:val="left"/>
                      </w:pPr>
                      <w:r w:rsidRPr="007901CD">
                        <w:rPr>
                          <w:b/>
                          <w:bCs/>
                        </w:rPr>
                        <w:t>396</w:t>
                      </w:r>
                      <w:r>
                        <w:rPr>
                          <w:b/>
                          <w:bCs/>
                        </w:rPr>
                        <w:t xml:space="preserve">               </w:t>
                      </w:r>
                      <w:r w:rsidRPr="007901CD">
                        <w:t xml:space="preserve">realizovaných KH </w:t>
                      </w:r>
                    </w:p>
                    <w:p w14:paraId="273F92D3" w14:textId="77777777" w:rsidR="00B10AAD" w:rsidRPr="007901CD" w:rsidRDefault="00B10AAD" w:rsidP="00B10AAD">
                      <w:pPr>
                        <w:jc w:val="left"/>
                      </w:pPr>
                      <w:r w:rsidRPr="007901CD">
                        <w:rPr>
                          <w:b/>
                          <w:bCs/>
                        </w:rPr>
                        <w:t>112</w:t>
                      </w:r>
                      <w:r>
                        <w:t xml:space="preserve"> </w:t>
                      </w:r>
                      <w:r>
                        <w:tab/>
                        <w:t xml:space="preserve">       </w:t>
                      </w:r>
                      <w:r w:rsidRPr="007901CD">
                        <w:t xml:space="preserve">nově započatých KH </w:t>
                      </w:r>
                    </w:p>
                    <w:p w14:paraId="4CF06EC9" w14:textId="77777777" w:rsidR="00B10AAD" w:rsidRPr="007901CD" w:rsidRDefault="00B10AAD" w:rsidP="00B10AAD">
                      <w:pPr>
                        <w:ind w:left="1440" w:hanging="1440"/>
                        <w:jc w:val="left"/>
                      </w:pPr>
                      <w:r w:rsidRPr="007901CD">
                        <w:rPr>
                          <w:b/>
                          <w:bCs/>
                        </w:rPr>
                        <w:t>16</w:t>
                      </w:r>
                      <w:r>
                        <w:rPr>
                          <w:b/>
                          <w:bCs/>
                        </w:rPr>
                        <w:t> </w:t>
                      </w:r>
                      <w:r w:rsidRPr="007901CD">
                        <w:rPr>
                          <w:b/>
                          <w:bCs/>
                        </w:rPr>
                        <w:t>069</w:t>
                      </w:r>
                      <w:r>
                        <w:t xml:space="preserve">         </w:t>
                      </w:r>
                      <w:r w:rsidRPr="007901CD">
                        <w:t xml:space="preserve">zapojených pacientů </w:t>
                      </w:r>
                    </w:p>
                    <w:p w14:paraId="3ED6EF75" w14:textId="77777777" w:rsidR="00B10AAD" w:rsidRPr="007901CD" w:rsidRDefault="00B10AAD" w:rsidP="00B10AAD">
                      <w:pPr>
                        <w:ind w:left="1438" w:hanging="1460"/>
                        <w:jc w:val="left"/>
                      </w:pPr>
                      <w:r w:rsidRPr="007901CD">
                        <w:rPr>
                          <w:b/>
                          <w:bCs/>
                        </w:rPr>
                        <w:t>1</w:t>
                      </w:r>
                      <w:r>
                        <w:rPr>
                          <w:b/>
                          <w:bCs/>
                        </w:rPr>
                        <w:t> </w:t>
                      </w:r>
                      <w:r w:rsidRPr="007901CD">
                        <w:rPr>
                          <w:b/>
                          <w:bCs/>
                        </w:rPr>
                        <w:t>891</w:t>
                      </w:r>
                      <w:r>
                        <w:t xml:space="preserve">            </w:t>
                      </w:r>
                      <w:r w:rsidRPr="007901CD">
                        <w:t>zapojených výzkumnýc</w:t>
                      </w:r>
                      <w:r>
                        <w:t>h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7901CD">
                        <w:t>týmů</w:t>
                      </w:r>
                    </w:p>
                    <w:p w14:paraId="56AD3E8F" w14:textId="77777777" w:rsidR="00B10AAD" w:rsidRDefault="00B10AAD" w:rsidP="00B10AAD">
                      <w:pPr>
                        <w:ind w:left="1440" w:hanging="1440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3,4–</w:t>
                      </w:r>
                    </w:p>
                    <w:p w14:paraId="4F45D2BC" w14:textId="77777777" w:rsidR="00B10AAD" w:rsidRPr="007901CD" w:rsidRDefault="00B10AAD" w:rsidP="00B10AAD">
                      <w:pPr>
                        <w:ind w:left="1440" w:hanging="1440"/>
                        <w:jc w:val="left"/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  <w:r w:rsidRPr="007901CD">
                        <w:rPr>
                          <w:b/>
                          <w:bCs/>
                        </w:rPr>
                        <w:t>,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  <w:r w:rsidRPr="007901CD">
                        <w:rPr>
                          <w:b/>
                          <w:bCs/>
                        </w:rPr>
                        <w:t xml:space="preserve"> mld. </w:t>
                      </w:r>
                      <w:r>
                        <w:rPr>
                          <w:b/>
                          <w:bCs/>
                        </w:rPr>
                        <w:t>K</w:t>
                      </w:r>
                      <w:r w:rsidRPr="007901CD">
                        <w:rPr>
                          <w:b/>
                          <w:bCs/>
                        </w:rPr>
                        <w:t>č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  <w:r>
                        <w:t>úspory zdrav. systému</w:t>
                      </w:r>
                    </w:p>
                    <w:p w14:paraId="44B24785" w14:textId="77777777" w:rsidR="00B10AAD" w:rsidRPr="007901CD" w:rsidRDefault="00B10AAD" w:rsidP="00B10AAD">
                      <w:pPr>
                        <w:ind w:left="1440" w:hanging="1440"/>
                        <w:jc w:val="left"/>
                      </w:pPr>
                      <w:r w:rsidRPr="007901CD">
                        <w:tab/>
                      </w:r>
                      <w:r w:rsidRPr="007901CD">
                        <w:tab/>
                        <w:t xml:space="preserve"> 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4F5650">
        <w:t>„</w:t>
      </w:r>
      <w:r w:rsidR="004F5650">
        <w:rPr>
          <w:i/>
        </w:rPr>
        <w:t>O své nemoci jsem se dozvěděl již před dlouho dobou</w:t>
      </w:r>
      <w:r w:rsidR="004F5650">
        <w:t>,“ vzpomíná na počátky své léčby pan Lukáš Vacek: „</w:t>
      </w:r>
      <w:r w:rsidR="004F5650">
        <w:rPr>
          <w:i/>
        </w:rPr>
        <w:t>Bylo mi tehdy 12 let. Začalo to únavou a</w:t>
      </w:r>
      <w:r w:rsidR="0078347B">
        <w:rPr>
          <w:i/>
        </w:rPr>
        <w:t> </w:t>
      </w:r>
      <w:r w:rsidR="004F5650">
        <w:rPr>
          <w:i/>
        </w:rPr>
        <w:t>bolestmi břicha, v té době nebyla Crohnova choroba rozšířená jak</w:t>
      </w:r>
      <w:r w:rsidR="00B57D60">
        <w:rPr>
          <w:i/>
        </w:rPr>
        <w:t>o</w:t>
      </w:r>
      <w:r w:rsidR="004F5650">
        <w:rPr>
          <w:i/>
        </w:rPr>
        <w:t xml:space="preserve"> dnes, takže diagnostikování nějakou dobu trvalo. Strávil jsem nějako</w:t>
      </w:r>
      <w:r w:rsidR="004E435F">
        <w:rPr>
          <w:i/>
        </w:rPr>
        <w:t>u</w:t>
      </w:r>
      <w:r w:rsidR="004F5650">
        <w:rPr>
          <w:i/>
        </w:rPr>
        <w:t xml:space="preserve"> dobu hospitaliz</w:t>
      </w:r>
      <w:r w:rsidR="00620B11">
        <w:rPr>
          <w:i/>
        </w:rPr>
        <w:t>ací</w:t>
      </w:r>
      <w:r w:rsidR="004F5650">
        <w:rPr>
          <w:i/>
        </w:rPr>
        <w:t xml:space="preserve"> v</w:t>
      </w:r>
      <w:r w:rsidR="00CB5538">
        <w:rPr>
          <w:i/>
        </w:rPr>
        <w:t>e Fakultní nemocnici v Motole</w:t>
      </w:r>
      <w:r w:rsidR="00620B11">
        <w:rPr>
          <w:i/>
        </w:rPr>
        <w:t>,</w:t>
      </w:r>
      <w:r w:rsidR="004F5650">
        <w:rPr>
          <w:i/>
        </w:rPr>
        <w:t xml:space="preserve"> než byla moje diagnóza potvrzena.</w:t>
      </w:r>
      <w:r w:rsidR="004F5650">
        <w:t xml:space="preserve">“ Chronické střevní záněty, označované zkratkou IBD (z anglického </w:t>
      </w:r>
      <w:r w:rsidR="004F5650" w:rsidRPr="007C676F">
        <w:rPr>
          <w:i/>
          <w:iCs/>
        </w:rPr>
        <w:t>Inflammatory Bowel Diseases</w:t>
      </w:r>
      <w:r w:rsidR="004F5650">
        <w:t>) postihují ve vyspělých zemích čím dál více lidí, nemocí navíc trpí stále mladší lidi, dokonce i</w:t>
      </w:r>
      <w:r>
        <w:t> </w:t>
      </w:r>
      <w:r w:rsidR="004F5650">
        <w:t>kojenci.</w:t>
      </w:r>
      <w:r w:rsidR="004F5650">
        <w:rPr>
          <w:b/>
          <w:i/>
        </w:rPr>
        <w:t xml:space="preserve"> </w:t>
      </w:r>
    </w:p>
    <w:p w14:paraId="1CBE3FCF" w14:textId="6178119A" w:rsidR="004F5650" w:rsidRDefault="004F5650" w:rsidP="004F5650">
      <w:pPr>
        <w:spacing w:line="276" w:lineRule="auto"/>
      </w:pPr>
      <w:bookmarkStart w:id="2" w:name="_4fj852bw4t5y" w:colFirst="0" w:colLast="0"/>
      <w:bookmarkEnd w:id="2"/>
      <w:r>
        <w:t>K onemocněním, které nazýváme idiopatické nebo nespecifické střevní záněty, řadíme Crohnovu chorobu a ulcerózní kolitidu. Slovo idiopatické znamená, že není známa jejich příčina. Jde o chronická – celoživotní zánětlivá (autoimunitní) onemocnění s velmi bohatými střevními i mimostřevními příznaky. Vyskytují se v různě těžkých formách, přičemž nemocného mohou ohrožovat na životě, či drasticky zhoršit kvalitu jeho osobního, sociálního i</w:t>
      </w:r>
      <w:r w:rsidR="003008A5">
        <w:t> </w:t>
      </w:r>
      <w:r>
        <w:t>pracovního života.</w:t>
      </w:r>
      <w:r>
        <w:rPr>
          <w:rStyle w:val="Znakapoznpodarou"/>
        </w:rPr>
        <w:footnoteReference w:id="1"/>
      </w:r>
    </w:p>
    <w:p w14:paraId="7E88AA06" w14:textId="010CAE63" w:rsidR="004F5650" w:rsidRDefault="004F5650" w:rsidP="004F5650">
      <w:pPr>
        <w:spacing w:line="276" w:lineRule="auto"/>
      </w:pPr>
      <w:bookmarkStart w:id="3" w:name="_qr3kr7ywy45z" w:colFirst="0" w:colLast="0"/>
      <w:bookmarkEnd w:id="3"/>
      <w:r>
        <w:t>Standardní léčba u pana Vacka začala ztrácet na účinnosti, což je, bohužel, u Crohnovy choroby běžné, a proto začal být léčen biologickou léčbou. Moderní biologické léky ve většině případů udržují nemocné v dlouhodobé remisi, kdy jsou bez obtíží. Pacienti jsou inovativní léčbou léčeni ve specializovaných centrech, proto se těmto přípravkům někdy říká centrová léčba či centrové léčivé přípravky. „</w:t>
      </w:r>
      <w:r>
        <w:rPr>
          <w:i/>
        </w:rPr>
        <w:t>Cílem je, aby se pacient dostal do stavu, kdy je prakticky bez příznaků nemoci, nemoc se jeví jako neaktivní, nebo jen mírně aktivní. I u biologických léků je, bohužel, účinnost mnohdy jen dočasná.</w:t>
      </w:r>
      <w:r w:rsidR="00E95A52">
        <w:rPr>
          <w:i/>
        </w:rPr>
        <w:t xml:space="preserve"> </w:t>
      </w:r>
      <w:r>
        <w:rPr>
          <w:i/>
        </w:rPr>
        <w:t xml:space="preserve">U některých pacientů na ně po několika letech vzniká rezistence a klesá tak jejich účinnost. Pak je například potřeba zaměnit </w:t>
      </w:r>
      <w:r>
        <w:rPr>
          <w:i/>
        </w:rPr>
        <w:lastRenderedPageBreak/>
        <w:t>je za jiný přípravek, pacienti se také mohou zapojit do klinického hodnocení nadějného léku,</w:t>
      </w:r>
      <w:r>
        <w:t>“ říká Mgr.</w:t>
      </w:r>
      <w:r w:rsidR="00424F59">
        <w:t> </w:t>
      </w:r>
      <w:r>
        <w:t xml:space="preserve">Lucie Laštíková, místopředsedkyně pacientské organizace Pacienti IBD, z.s. </w:t>
      </w:r>
      <w:bookmarkStart w:id="4" w:name="_8ilfuq3rao9v" w:colFirst="0" w:colLast="0"/>
      <w:bookmarkEnd w:id="4"/>
    </w:p>
    <w:p w14:paraId="149CE375" w14:textId="5E629465" w:rsidR="004F5650" w:rsidRDefault="004F5650" w:rsidP="004F5650">
      <w:pPr>
        <w:spacing w:line="276" w:lineRule="auto"/>
        <w:rPr>
          <w:b/>
          <w:i/>
        </w:rPr>
      </w:pPr>
      <w:bookmarkStart w:id="5" w:name="_7k8kefmw1lqk" w:colFirst="0" w:colLast="0"/>
      <w:bookmarkStart w:id="6" w:name="_n0iy5n39fwnd" w:colFirst="0" w:colLast="0"/>
      <w:bookmarkStart w:id="7" w:name="_6enfkqndnewj" w:colFirst="0" w:colLast="0"/>
      <w:bookmarkEnd w:id="5"/>
      <w:bookmarkEnd w:id="6"/>
      <w:bookmarkEnd w:id="7"/>
      <w:r>
        <w:rPr>
          <w:b/>
        </w:rPr>
        <w:t>Klinické studie: podpora rozvoje vědy, pomoc sobě i druhým</w:t>
      </w:r>
    </w:p>
    <w:p w14:paraId="61CEB8E6" w14:textId="010255BE" w:rsidR="004F5650" w:rsidRDefault="004F5650" w:rsidP="004F5650">
      <w:pPr>
        <w:spacing w:line="276" w:lineRule="auto"/>
      </w:pPr>
      <w:bookmarkStart w:id="8" w:name="_3j9k0ce8znjp" w:colFirst="0" w:colLast="0"/>
      <w:bookmarkEnd w:id="8"/>
      <w:r>
        <w:t>„</w:t>
      </w:r>
      <w:r>
        <w:rPr>
          <w:i/>
        </w:rPr>
        <w:t>Vzhledem k tomu, že i biologická léčba u mě časem ztrácela efektivitu, bylo nutné postupně přecházet na novější léčiva, zapojení do klinického hodnocení byl</w:t>
      </w:r>
      <w:r w:rsidR="00A628EC">
        <w:rPr>
          <w:i/>
        </w:rPr>
        <w:t>o</w:t>
      </w:r>
      <w:r>
        <w:rPr>
          <w:i/>
        </w:rPr>
        <w:t xml:space="preserve"> tedy dalším logickým krokem. Poprvé jsem se </w:t>
      </w:r>
      <w:r w:rsidR="003103D3">
        <w:rPr>
          <w:i/>
        </w:rPr>
        <w:t xml:space="preserve">do něj </w:t>
      </w:r>
      <w:r>
        <w:rPr>
          <w:i/>
        </w:rPr>
        <w:t>zapojil v roce 2010. Tato možnost léčby mi umožnuje využívat léky</w:t>
      </w:r>
      <w:r w:rsidR="00620B11">
        <w:rPr>
          <w:i/>
        </w:rPr>
        <w:t>,</w:t>
      </w:r>
      <w:r>
        <w:rPr>
          <w:i/>
        </w:rPr>
        <w:t xml:space="preserve"> na které moje tělo lépe reaguje, účinnost mé léčby je tím tedy mnohem vyšší,</w:t>
      </w:r>
      <w:r>
        <w:t>“ říká o důvodu</w:t>
      </w:r>
      <w:r w:rsidR="003103D3">
        <w:t>,</w:t>
      </w:r>
      <w:r>
        <w:t xml:space="preserve"> </w:t>
      </w:r>
      <w:r w:rsidR="003103D3">
        <w:t xml:space="preserve">proč se </w:t>
      </w:r>
      <w:r>
        <w:t>rozhodnu</w:t>
      </w:r>
      <w:r w:rsidR="003103D3">
        <w:t>l</w:t>
      </w:r>
      <w:r>
        <w:t xml:space="preserve"> zapojit do výzkumu léčiv pan Vacek.</w:t>
      </w:r>
    </w:p>
    <w:p w14:paraId="33421050" w14:textId="753EEB13" w:rsidR="004F5650" w:rsidRPr="006928B3" w:rsidRDefault="004F5650" w:rsidP="004F5650">
      <w:pPr>
        <w:spacing w:line="276" w:lineRule="auto"/>
        <w:rPr>
          <w:i/>
          <w:iCs/>
        </w:rPr>
      </w:pPr>
      <w:bookmarkStart w:id="9" w:name="_cd64fqzeuyuf" w:colFirst="0" w:colLast="0"/>
      <w:bookmarkStart w:id="10" w:name="_dkov5aja3dn9" w:colFirst="0" w:colLast="0"/>
      <w:bookmarkEnd w:id="9"/>
      <w:bookmarkEnd w:id="10"/>
      <w:r>
        <w:t xml:space="preserve">Všichni známe scény ze seriálů, kdy je experimentální lék nabízen pacientům s vážným typem rakoviny jako poslední možnost záchrany. Ve skutečném životě je situace mnohem prozaičtější, účast na klinické </w:t>
      </w:r>
      <w:r w:rsidRPr="006928B3">
        <w:rPr>
          <w:i/>
          <w:iCs/>
        </w:rPr>
        <w:t>studii nového léku je</w:t>
      </w:r>
      <w:r w:rsidR="007C676F" w:rsidRPr="006928B3">
        <w:rPr>
          <w:i/>
          <w:iCs/>
        </w:rPr>
        <w:t xml:space="preserve"> </w:t>
      </w:r>
      <w:r w:rsidRPr="006928B3">
        <w:rPr>
          <w:i/>
          <w:iCs/>
        </w:rPr>
        <w:t xml:space="preserve">poměrně běžnou záležitostí pro mnoho chorob. </w:t>
      </w:r>
      <w:bookmarkStart w:id="11" w:name="_ddw2kafoqdhi" w:colFirst="0" w:colLast="0"/>
      <w:bookmarkEnd w:id="11"/>
    </w:p>
    <w:p w14:paraId="6E50A0FB" w14:textId="1E008AE1" w:rsidR="004F5650" w:rsidRDefault="006928B3" w:rsidP="004F5650">
      <w:pPr>
        <w:spacing w:line="276" w:lineRule="auto"/>
      </w:pPr>
      <w:bookmarkStart w:id="12" w:name="_pxmdceg1qy5r" w:colFirst="0" w:colLast="0"/>
      <w:bookmarkEnd w:id="12"/>
      <w:r w:rsidRPr="006928B3">
        <w:rPr>
          <w:i/>
          <w:iCs/>
          <w:noProof/>
        </w:rPr>
        <w:drawing>
          <wp:anchor distT="0" distB="0" distL="114300" distR="114300" simplePos="0" relativeHeight="251660288" behindDoc="1" locked="0" layoutInCell="1" allowOverlap="1" wp14:anchorId="2AFED559" wp14:editId="770EDD45">
            <wp:simplePos x="0" y="0"/>
            <wp:positionH relativeFrom="margin">
              <wp:posOffset>-12700</wp:posOffset>
            </wp:positionH>
            <wp:positionV relativeFrom="margin">
              <wp:posOffset>4058227</wp:posOffset>
            </wp:positionV>
            <wp:extent cx="5848985" cy="1539240"/>
            <wp:effectExtent l="0" t="0" r="5715" b="0"/>
            <wp:wrapTight wrapText="bothSides">
              <wp:wrapPolygon edited="0">
                <wp:start x="0" y="0"/>
                <wp:lineTo x="0" y="21386"/>
                <wp:lineTo x="21574" y="21386"/>
                <wp:lineTo x="21574" y="0"/>
                <wp:lineTo x="0" y="0"/>
              </wp:wrapPolygon>
            </wp:wrapTight>
            <wp:docPr id="5" name="Obrázek 1">
              <a:extLst xmlns:a="http://schemas.openxmlformats.org/drawingml/2006/main">
                <a:ext uri="{FF2B5EF4-FFF2-40B4-BE49-F238E27FC236}">
                  <a16:creationId xmlns:a16="http://schemas.microsoft.com/office/drawing/2014/main" id="{8E84AB1E-3BE2-7E48-9AAD-9978253DD8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>
                      <a:extLst>
                        <a:ext uri="{FF2B5EF4-FFF2-40B4-BE49-F238E27FC236}">
                          <a16:creationId xmlns:a16="http://schemas.microsoft.com/office/drawing/2014/main" id="{8E84AB1E-3BE2-7E48-9AAD-9978253DD8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961" b="3866"/>
                    <a:stretch/>
                  </pic:blipFill>
                  <pic:spPr bwMode="auto">
                    <a:xfrm>
                      <a:off x="0" y="0"/>
                      <a:ext cx="5848985" cy="1539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28B3">
        <w:rPr>
          <w:i/>
          <w:iCs/>
        </w:rPr>
        <w:t>„</w:t>
      </w:r>
      <w:r w:rsidRPr="006928B3">
        <w:rPr>
          <w:i/>
          <w:iCs/>
          <w:noProof/>
        </w:rPr>
        <w:t>Z aktuální studie Asociace inovativního farmaceutického průmyslu a poradenské společnosti EY vyplynulo, že v České republice členské společnosti AIFP realizují 396 klinických hodnocení nových léčiv, a to zejména v oblasti onkologie, infekčních onemocnění a nemocí nervové soustavy. Do hodnocení bylo v loňském roce zapojeno více než 16 tisíc českých pacientů a téměř 2 tisíce lékařských týmů. Celkové úspory zdravotnického systému, které členské společnosti AIFP generovaly realizací klinického hodnocení dosáhly výše 3,4 – 3,5 miliardy korun. Oproti roku 2019 se jedná o více než 100% nárůst. Výsledná úspora je rovna přibližně 1,1 % z veškerých prostředků vynaložených zdravotními pojišťovnami na zdravotní péči v roce 2020,“</w:t>
      </w:r>
      <w:r>
        <w:rPr>
          <w:i/>
        </w:rPr>
        <w:t xml:space="preserve"> </w:t>
      </w:r>
      <w:r w:rsidR="003103D3">
        <w:t xml:space="preserve">říká </w:t>
      </w:r>
      <w:r w:rsidR="004F5650">
        <w:t xml:space="preserve">Mgr. David Kolář, výkonný ředitel AIFP.  </w:t>
      </w:r>
    </w:p>
    <w:p w14:paraId="2B5C5A91" w14:textId="78EED136" w:rsidR="004F5650" w:rsidRDefault="004F5650" w:rsidP="004F5650">
      <w:pPr>
        <w:spacing w:line="276" w:lineRule="auto"/>
        <w:rPr>
          <w:b/>
          <w:bCs/>
          <w:color w:val="000000"/>
        </w:rPr>
      </w:pPr>
      <w:bookmarkStart w:id="13" w:name="_a9mlnefx4a7v" w:colFirst="0" w:colLast="0"/>
      <w:bookmarkStart w:id="14" w:name="_suu8e24ai8py" w:colFirst="0" w:colLast="0"/>
      <w:bookmarkStart w:id="15" w:name="_ffs8gbv28yr9" w:colFirst="0" w:colLast="0"/>
      <w:bookmarkStart w:id="16" w:name="_s8ujmq0vc1m" w:colFirst="0" w:colLast="0"/>
      <w:bookmarkEnd w:id="13"/>
      <w:bookmarkEnd w:id="14"/>
      <w:bookmarkEnd w:id="15"/>
      <w:bookmarkEnd w:id="16"/>
      <w:r w:rsidRPr="00FF4A5F">
        <w:rPr>
          <w:b/>
          <w:bCs/>
          <w:color w:val="000000"/>
        </w:rPr>
        <w:t xml:space="preserve">Jak se zapojit do klinického hodnocení? </w:t>
      </w:r>
    </w:p>
    <w:p w14:paraId="110B240D" w14:textId="4B3A2BD1" w:rsidR="004F5650" w:rsidRDefault="004F5650" w:rsidP="004F5650">
      <w:pPr>
        <w:spacing w:line="276" w:lineRule="auto"/>
        <w:rPr>
          <w:color w:val="000000"/>
        </w:rPr>
      </w:pPr>
      <w:r w:rsidRPr="00D84CB5">
        <w:rPr>
          <w:color w:val="000000"/>
        </w:rPr>
        <w:t>Do klinického hodnocení se lze zapojit přes svého ošetřujícího lékaře, specialistu nebo v</w:t>
      </w:r>
      <w:r>
        <w:rPr>
          <w:color w:val="000000"/>
        </w:rPr>
        <w:t xml:space="preserve"> </w:t>
      </w:r>
      <w:r w:rsidRPr="00D84CB5">
        <w:rPr>
          <w:color w:val="000000"/>
        </w:rPr>
        <w:t>konkrétním nemocničním zařízení. Lékaři mají o probíhajících klinických hodnoceních ve</w:t>
      </w:r>
      <w:r>
        <w:rPr>
          <w:color w:val="000000"/>
        </w:rPr>
        <w:t xml:space="preserve"> </w:t>
      </w:r>
      <w:r w:rsidRPr="00D84CB5">
        <w:rPr>
          <w:color w:val="000000"/>
        </w:rPr>
        <w:t xml:space="preserve">svém oboru velmi dobrý přehled. </w:t>
      </w:r>
      <w:r w:rsidR="0081677D">
        <w:rPr>
          <w:color w:val="000000"/>
        </w:rPr>
        <w:t>Vždy záleží na jejich rozhodnutí, zda je pacientům účast ve studii nabídnuta, nebo ne (s</w:t>
      </w:r>
      <w:r w:rsidR="00FB27D8">
        <w:rPr>
          <w:color w:val="000000"/>
        </w:rPr>
        <w:t> </w:t>
      </w:r>
      <w:r w:rsidR="0081677D">
        <w:rPr>
          <w:color w:val="000000"/>
        </w:rPr>
        <w:t xml:space="preserve">ohledem na konkrétní anamnézu pacienta). </w:t>
      </w:r>
      <w:r w:rsidRPr="00D84CB5">
        <w:rPr>
          <w:color w:val="000000"/>
        </w:rPr>
        <w:t xml:space="preserve">Před vstupem do studie </w:t>
      </w:r>
      <w:r w:rsidR="000170A7">
        <w:rPr>
          <w:color w:val="000000"/>
        </w:rPr>
        <w:t xml:space="preserve">je s pacientem </w:t>
      </w:r>
      <w:r w:rsidRPr="00D84CB5">
        <w:rPr>
          <w:color w:val="000000"/>
        </w:rPr>
        <w:t>podrobně</w:t>
      </w:r>
      <w:r>
        <w:rPr>
          <w:color w:val="000000"/>
        </w:rPr>
        <w:t xml:space="preserve"> </w:t>
      </w:r>
      <w:r w:rsidRPr="00D84CB5">
        <w:rPr>
          <w:color w:val="000000"/>
        </w:rPr>
        <w:t>probráno,</w:t>
      </w:r>
      <w:r w:rsidR="0081677D">
        <w:rPr>
          <w:color w:val="000000"/>
        </w:rPr>
        <w:t xml:space="preserve"> </w:t>
      </w:r>
      <w:r w:rsidRPr="00D84CB5">
        <w:rPr>
          <w:color w:val="000000"/>
        </w:rPr>
        <w:t xml:space="preserve">co může jako účastník očekávat a člen výzkumného týmu </w:t>
      </w:r>
      <w:r w:rsidR="003103D3">
        <w:rPr>
          <w:color w:val="000000"/>
        </w:rPr>
        <w:t xml:space="preserve">mu </w:t>
      </w:r>
      <w:r w:rsidRPr="00D84CB5">
        <w:rPr>
          <w:color w:val="000000"/>
        </w:rPr>
        <w:t>vysvětlí možné</w:t>
      </w:r>
      <w:r>
        <w:rPr>
          <w:color w:val="000000"/>
        </w:rPr>
        <w:t xml:space="preserve"> </w:t>
      </w:r>
      <w:r w:rsidRPr="00D84CB5">
        <w:rPr>
          <w:color w:val="000000"/>
        </w:rPr>
        <w:t>vedlejší účinky nebo jiná rizika léčby.</w:t>
      </w:r>
      <w:r w:rsidR="0081677D">
        <w:rPr>
          <w:color w:val="000000"/>
        </w:rPr>
        <w:t xml:space="preserve"> Předpokladem </w:t>
      </w:r>
      <w:r w:rsidR="000170A7">
        <w:rPr>
          <w:color w:val="000000"/>
        </w:rPr>
        <w:t xml:space="preserve">samotné </w:t>
      </w:r>
      <w:r w:rsidR="0081677D">
        <w:rPr>
          <w:color w:val="000000"/>
        </w:rPr>
        <w:t>účasti je potom mj. informovaný souhlas pacienta.</w:t>
      </w:r>
      <w:r w:rsidR="0081677D">
        <w:rPr>
          <w:rStyle w:val="Znakapoznpodarou"/>
          <w:color w:val="000000"/>
        </w:rPr>
        <w:footnoteReference w:id="2"/>
      </w:r>
    </w:p>
    <w:p w14:paraId="14B418D0" w14:textId="66DC8D1F" w:rsidR="004F5650" w:rsidRDefault="004F5650" w:rsidP="004F5650">
      <w:pPr>
        <w:spacing w:line="276" w:lineRule="auto"/>
      </w:pPr>
      <w:r>
        <w:rPr>
          <w:color w:val="000000"/>
        </w:rPr>
        <w:t>„</w:t>
      </w:r>
      <w:r>
        <w:rPr>
          <w:i/>
          <w:color w:val="000000"/>
        </w:rPr>
        <w:t xml:space="preserve">Každému našemu pacientovi se snažíme nabídnout účast v klinické studii s inovativním léčivem, </w:t>
      </w:r>
      <w:r w:rsidR="003008A5">
        <w:rPr>
          <w:i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1419D9" wp14:editId="09F9B2D6">
                <wp:simplePos x="0" y="0"/>
                <wp:positionH relativeFrom="margin">
                  <wp:posOffset>3345926</wp:posOffset>
                </wp:positionH>
                <wp:positionV relativeFrom="margin">
                  <wp:posOffset>7448</wp:posOffset>
                </wp:positionV>
                <wp:extent cx="2388094" cy="2272683"/>
                <wp:effectExtent l="12700" t="12700" r="12700" b="13335"/>
                <wp:wrapTight wrapText="bothSides">
                  <wp:wrapPolygon edited="0">
                    <wp:start x="-115" y="-121"/>
                    <wp:lineTo x="-115" y="21606"/>
                    <wp:lineTo x="21600" y="21606"/>
                    <wp:lineTo x="21600" y="-121"/>
                    <wp:lineTo x="-115" y="-121"/>
                  </wp:wrapPolygon>
                </wp:wrapTight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094" cy="22726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DF503" w14:textId="77777777" w:rsidR="00196771" w:rsidRDefault="00196771" w:rsidP="00196771">
                            <w:pPr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Důvody pacientů pro zapojení do KH:</w:t>
                            </w:r>
                          </w:p>
                          <w:p w14:paraId="4EF78F00" w14:textId="3846A542" w:rsidR="00196771" w:rsidRDefault="00196771" w:rsidP="00196771">
                            <w:pPr>
                              <w:spacing w:line="276" w:lineRule="auto"/>
                            </w:pPr>
                            <w:r w:rsidRPr="00772366">
                              <w:rPr>
                                <w:b/>
                                <w:bCs/>
                              </w:rPr>
                              <w:t>43 %</w:t>
                            </w:r>
                            <w:r>
                              <w:tab/>
                              <w:t xml:space="preserve">podpora rozvoje vědy </w:t>
                            </w:r>
                          </w:p>
                          <w:p w14:paraId="4E4F0839" w14:textId="093E95B8" w:rsidR="00196771" w:rsidRDefault="00196771" w:rsidP="00196771">
                            <w:pPr>
                              <w:spacing w:line="276" w:lineRule="auto"/>
                            </w:pPr>
                            <w:r w:rsidRPr="00772366">
                              <w:rPr>
                                <w:b/>
                                <w:bCs/>
                              </w:rPr>
                              <w:t>35 %</w:t>
                            </w:r>
                            <w:r>
                              <w:tab/>
                              <w:t xml:space="preserve">pomoci sobě a druhým </w:t>
                            </w:r>
                          </w:p>
                          <w:p w14:paraId="6C32E2D7" w14:textId="2014BA80" w:rsidR="00196771" w:rsidRDefault="00196771" w:rsidP="00196771">
                            <w:pPr>
                              <w:spacing w:line="276" w:lineRule="auto"/>
                            </w:pPr>
                            <w:r w:rsidRPr="00772366">
                              <w:rPr>
                                <w:b/>
                                <w:bCs/>
                              </w:rPr>
                              <w:t>34</w:t>
                            </w:r>
                            <w:r w:rsidR="00772366">
                              <w:t xml:space="preserve"> </w:t>
                            </w:r>
                            <w:r w:rsidR="00772366" w:rsidRPr="00772366">
                              <w:rPr>
                                <w:b/>
                                <w:bCs/>
                              </w:rPr>
                              <w:t>%</w:t>
                            </w:r>
                            <w:r w:rsidRPr="00772366">
                              <w:t xml:space="preserve"> </w:t>
                            </w:r>
                            <w:r>
                              <w:tab/>
                              <w:t xml:space="preserve">přístup ke kvalitnější léčbě </w:t>
                            </w:r>
                          </w:p>
                          <w:p w14:paraId="579F9E9D" w14:textId="6C72052C" w:rsidR="00196771" w:rsidRDefault="00196771" w:rsidP="00196771">
                            <w:pPr>
                              <w:spacing w:line="276" w:lineRule="auto"/>
                            </w:pPr>
                            <w:r>
                              <w:t>Další časté důvody byly spojeny s přístupem k účinnější medikaci, lepším specialistům a informacím.</w:t>
                            </w:r>
                            <w:bookmarkStart w:id="17" w:name="_x1rl8tgkrw3" w:colFirst="0" w:colLast="0"/>
                            <w:bookmarkEnd w:id="17"/>
                          </w:p>
                          <w:p w14:paraId="0CB04713" w14:textId="3AC03F0A" w:rsidR="00196771" w:rsidRPr="00772366" w:rsidRDefault="001967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72366">
                              <w:rPr>
                                <w:sz w:val="18"/>
                                <w:szCs w:val="18"/>
                              </w:rPr>
                              <w:t xml:space="preserve">Zdroj: </w:t>
                            </w:r>
                            <w:r w:rsidR="00772366" w:rsidRPr="00772366">
                              <w:rPr>
                                <w:sz w:val="18"/>
                                <w:szCs w:val="18"/>
                              </w:rPr>
                              <w:t>CISCRP – Studie vnímání a zkušeností pacientů s KH,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F1419D9" id="Textové pole 1" o:spid="_x0000_s1027" type="#_x0000_t202" style="position:absolute;left:0;text-align:left;margin-left:263.45pt;margin-top:.6pt;width:188.05pt;height:178.9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" fillcolor="white [3201]" strokecolor="#9bbb59 [3206]" strokeweight="2pt">
                <v:textbox>
                  <w:txbxContent>
                    <w:p w14:paraId="713DF503" w14:textId="77777777" w:rsidR="00196771" w:rsidRDefault="00196771" w:rsidP="00196771">
                      <w:pPr>
                        <w:spacing w:line="27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Důvody pacientů pro zapojení do KH:</w:t>
                      </w:r>
                    </w:p>
                    <w:p w14:paraId="4EF78F00" w14:textId="3846A542" w:rsidR="00196771" w:rsidRDefault="00196771" w:rsidP="00196771">
                      <w:pPr>
                        <w:spacing w:line="276" w:lineRule="auto"/>
                      </w:pPr>
                      <w:r w:rsidRPr="00772366">
                        <w:rPr>
                          <w:b/>
                          <w:bCs/>
                        </w:rPr>
                        <w:t>43 %</w:t>
                      </w:r>
                      <w:r>
                        <w:tab/>
                        <w:t xml:space="preserve">podpora rozvoje vědy </w:t>
                      </w:r>
                    </w:p>
                    <w:p w14:paraId="4E4F0839" w14:textId="093E95B8" w:rsidR="00196771" w:rsidRDefault="00196771" w:rsidP="00196771">
                      <w:pPr>
                        <w:spacing w:line="276" w:lineRule="auto"/>
                      </w:pPr>
                      <w:r w:rsidRPr="00772366">
                        <w:rPr>
                          <w:b/>
                          <w:bCs/>
                        </w:rPr>
                        <w:t>35 %</w:t>
                      </w:r>
                      <w:r>
                        <w:tab/>
                        <w:t xml:space="preserve">pomoci sobě a druhým </w:t>
                      </w:r>
                    </w:p>
                    <w:p w14:paraId="6C32E2D7" w14:textId="2014BA80" w:rsidR="00196771" w:rsidRDefault="00196771" w:rsidP="00196771">
                      <w:pPr>
                        <w:spacing w:line="276" w:lineRule="auto"/>
                      </w:pPr>
                      <w:r w:rsidRPr="00772366">
                        <w:rPr>
                          <w:b/>
                          <w:bCs/>
                        </w:rPr>
                        <w:t>34</w:t>
                      </w:r>
                      <w:r w:rsidR="00772366">
                        <w:t xml:space="preserve"> </w:t>
                      </w:r>
                      <w:r w:rsidR="00772366" w:rsidRPr="00772366">
                        <w:rPr>
                          <w:b/>
                          <w:bCs/>
                        </w:rPr>
                        <w:t>%</w:t>
                      </w:r>
                      <w:r w:rsidRPr="00772366">
                        <w:t xml:space="preserve"> </w:t>
                      </w:r>
                      <w:r>
                        <w:tab/>
                        <w:t xml:space="preserve">přístup ke kvalitnější léčbě </w:t>
                      </w:r>
                    </w:p>
                    <w:p w14:paraId="579F9E9D" w14:textId="6C72052C" w:rsidR="00196771" w:rsidRDefault="00196771" w:rsidP="00196771">
                      <w:pPr>
                        <w:spacing w:line="276" w:lineRule="auto"/>
                      </w:pPr>
                      <w:r>
                        <w:t>Další časté důvody byly spojeny s přístupem k účinnější medikaci, lepším specialistům a informacím.</w:t>
                      </w:r>
                      <w:bookmarkStart w:id="22" w:name="_x1rl8tgkrw3" w:colFirst="0" w:colLast="0"/>
                      <w:bookmarkEnd w:id="22"/>
                    </w:p>
                    <w:p w14:paraId="0CB04713" w14:textId="3AC03F0A" w:rsidR="00196771" w:rsidRPr="00772366" w:rsidRDefault="00196771">
                      <w:pPr>
                        <w:rPr>
                          <w:sz w:val="18"/>
                          <w:szCs w:val="18"/>
                        </w:rPr>
                      </w:pPr>
                      <w:r w:rsidRPr="00772366">
                        <w:rPr>
                          <w:sz w:val="18"/>
                          <w:szCs w:val="18"/>
                        </w:rPr>
                        <w:t xml:space="preserve">Zdroj: </w:t>
                      </w:r>
                      <w:r w:rsidR="00772366" w:rsidRPr="00772366">
                        <w:rPr>
                          <w:sz w:val="18"/>
                          <w:szCs w:val="18"/>
                        </w:rPr>
                        <w:t>CISCRP – Studie vnímání a zkušeností pacientů s KH, 2019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>
        <w:rPr>
          <w:i/>
          <w:color w:val="000000"/>
        </w:rPr>
        <w:t>protože má možnost být léčen mnohem dříve, než je léčivý přípravek registrován. Klinické hodnocení probíhá standardně stejně jako každá jiná léčba, ale sledování pacienta je daleko detailnější než u standardní léčby, co</w:t>
      </w:r>
      <w:r w:rsidR="000B498F">
        <w:rPr>
          <w:i/>
          <w:color w:val="000000"/>
        </w:rPr>
        <w:t>ž</w:t>
      </w:r>
      <w:r>
        <w:rPr>
          <w:i/>
          <w:color w:val="000000"/>
        </w:rPr>
        <w:t xml:space="preserve"> je pro pacienta</w:t>
      </w:r>
      <w:r w:rsidR="000B498F">
        <w:rPr>
          <w:i/>
          <w:color w:val="000000"/>
        </w:rPr>
        <w:t xml:space="preserve"> </w:t>
      </w:r>
      <w:r w:rsidR="00B57D60">
        <w:rPr>
          <w:i/>
          <w:color w:val="000000"/>
        </w:rPr>
        <w:t xml:space="preserve">rovněž </w:t>
      </w:r>
      <w:r w:rsidR="000B498F">
        <w:rPr>
          <w:i/>
          <w:color w:val="000000"/>
        </w:rPr>
        <w:t>benefitem</w:t>
      </w:r>
      <w:r>
        <w:rPr>
          <w:i/>
          <w:color w:val="000000"/>
        </w:rPr>
        <w:t>. Děje se to podle předem daného protokolu, je to velmi kontrolované a</w:t>
      </w:r>
      <w:r w:rsidR="006E6387">
        <w:rPr>
          <w:i/>
          <w:color w:val="000000"/>
        </w:rPr>
        <w:t> </w:t>
      </w:r>
      <w:r>
        <w:rPr>
          <w:i/>
          <w:color w:val="000000"/>
        </w:rPr>
        <w:t>přínosem pro pacienta je detailní vyšetření. Pacient samozřejmě poté, kdy se roz</w:t>
      </w:r>
      <w:r w:rsidR="003103D3">
        <w:rPr>
          <w:i/>
          <w:color w:val="000000"/>
        </w:rPr>
        <w:t xml:space="preserve">myslí </w:t>
      </w:r>
      <w:r>
        <w:rPr>
          <w:i/>
          <w:color w:val="000000"/>
        </w:rPr>
        <w:t>buď sám, nebo se poradí se svou rodinou, přečte si informovaný souhlas k</w:t>
      </w:r>
      <w:r w:rsidR="006E6387">
        <w:rPr>
          <w:i/>
          <w:color w:val="000000"/>
        </w:rPr>
        <w:t> </w:t>
      </w:r>
      <w:r>
        <w:rPr>
          <w:i/>
          <w:color w:val="000000"/>
        </w:rPr>
        <w:t>dané klinické studii, tak se rozhodne dobrovolně, jestli chce být léčen standardně, anebo v rámci klinické studie,</w:t>
      </w:r>
      <w:r>
        <w:rPr>
          <w:color w:val="000000"/>
        </w:rPr>
        <w:t>“ říká o klinických hodnoceních doc. MUDr. Regina Demlová, Ph.D., primářka Oddělení klinických studií Masarykova onkologického ústavu v Brně a</w:t>
      </w:r>
      <w:r w:rsidR="006E6387">
        <w:rPr>
          <w:color w:val="000000"/>
        </w:rPr>
        <w:t> </w:t>
      </w:r>
      <w:r>
        <w:rPr>
          <w:color w:val="000000"/>
        </w:rPr>
        <w:t>přednostka Farmakologického ústavu Masarykovy univerzity v Brně.</w:t>
      </w:r>
      <w:r>
        <w:t xml:space="preserve"> V rámci Masarykova onkologického ústavu běží zhruba 80 klinických hodnocení, do nichž je zapojeno asi 1</w:t>
      </w:r>
      <w:r w:rsidR="00B06D19">
        <w:t xml:space="preserve"> </w:t>
      </w:r>
      <w:r>
        <w:t xml:space="preserve">000 pacientů. Studie trvá i několik let </w:t>
      </w:r>
      <w:r w:rsidR="00A53BC4">
        <w:t>a</w:t>
      </w:r>
      <w:r w:rsidR="00B06D19">
        <w:t> </w:t>
      </w:r>
      <w:r>
        <w:t>jen nábor pacientů může trvat dva roky.</w:t>
      </w:r>
      <w:bookmarkStart w:id="18" w:name="_c57uc9whud7h" w:colFirst="0" w:colLast="0"/>
      <w:bookmarkStart w:id="19" w:name="_snp39eg89xc2" w:colFirst="0" w:colLast="0"/>
      <w:bookmarkStart w:id="20" w:name="_5nm4c7gl8dso" w:colFirst="0" w:colLast="0"/>
      <w:bookmarkEnd w:id="18"/>
      <w:bookmarkEnd w:id="19"/>
      <w:bookmarkEnd w:id="20"/>
    </w:p>
    <w:p w14:paraId="0D3E6A84" w14:textId="6C230A9A" w:rsidR="00E95A52" w:rsidRDefault="004F5650" w:rsidP="004F5650">
      <w:pPr>
        <w:spacing w:line="276" w:lineRule="auto"/>
        <w:rPr>
          <w:rFonts w:asciiTheme="majorHAnsi" w:eastAsia="Times New Roman" w:hAnsiTheme="majorHAnsi" w:cstheme="majorHAnsi"/>
          <w:color w:val="000000"/>
        </w:rPr>
      </w:pPr>
      <w:r w:rsidRPr="0048055B">
        <w:rPr>
          <w:rFonts w:asciiTheme="majorHAnsi" w:eastAsia="Times New Roman" w:hAnsiTheme="majorHAnsi" w:cstheme="majorHAnsi"/>
          <w:color w:val="000000"/>
        </w:rPr>
        <w:t>„</w:t>
      </w:r>
      <w:r w:rsidRPr="0048055B">
        <w:rPr>
          <w:rFonts w:asciiTheme="majorHAnsi" w:eastAsia="Times New Roman" w:hAnsiTheme="majorHAnsi" w:cstheme="majorHAnsi"/>
          <w:i/>
          <w:iCs/>
          <w:color w:val="000000"/>
        </w:rPr>
        <w:t>Rozhodně se vstupu do klinické studie nebojte. Já osobně jsem za to vděčný a rád sv</w:t>
      </w:r>
      <w:r w:rsidR="00A53BC4">
        <w:rPr>
          <w:rFonts w:asciiTheme="majorHAnsi" w:eastAsia="Times New Roman" w:hAnsiTheme="majorHAnsi" w:cstheme="majorHAnsi"/>
          <w:i/>
          <w:iCs/>
          <w:color w:val="000000"/>
        </w:rPr>
        <w:t>o</w:t>
      </w:r>
      <w:r w:rsidRPr="0048055B">
        <w:rPr>
          <w:rFonts w:asciiTheme="majorHAnsi" w:eastAsia="Times New Roman" w:hAnsiTheme="majorHAnsi" w:cstheme="majorHAnsi"/>
          <w:i/>
          <w:iCs/>
          <w:color w:val="000000"/>
        </w:rPr>
        <w:t>jí účastí přispěji k vývoji nových léků. Až budete znovu někdy v ordinaci svého lékaře, podívejte se na ostatní pacienty, kteří tam čekají s vámi – vaše účast na klinické studii pomáhá nejen vám, ale i jim,</w:t>
      </w:r>
      <w:r w:rsidRPr="0048055B">
        <w:rPr>
          <w:rFonts w:asciiTheme="majorHAnsi" w:eastAsia="Times New Roman" w:hAnsiTheme="majorHAnsi" w:cstheme="majorHAnsi"/>
          <w:color w:val="000000"/>
        </w:rPr>
        <w:t>“ říká pan Vacek. </w:t>
      </w:r>
    </w:p>
    <w:p w14:paraId="2BCF344A" w14:textId="2B308539" w:rsidR="004F5650" w:rsidRPr="00E95A52" w:rsidRDefault="00386689" w:rsidP="004F5650">
      <w:pPr>
        <w:spacing w:line="276" w:lineRule="auto"/>
        <w:rPr>
          <w:rFonts w:asciiTheme="majorHAnsi" w:eastAsia="Times New Roman" w:hAnsiTheme="majorHAnsi" w:cstheme="majorHAnsi"/>
          <w:color w:val="000000"/>
        </w:rPr>
      </w:pPr>
      <w:r w:rsidRPr="00386689">
        <w:rPr>
          <w:rStyle w:val="Zdraznn"/>
          <w:rFonts w:asciiTheme="majorHAnsi" w:eastAsiaTheme="majorEastAsia" w:hAnsiTheme="majorHAnsi" w:cstheme="majorHAnsi"/>
          <w:color w:val="000000" w:themeColor="text1"/>
        </w:rPr>
        <w:t>„</w:t>
      </w:r>
      <w:r w:rsidR="004F5650" w:rsidRPr="00386689">
        <w:rPr>
          <w:rStyle w:val="Zdraznn"/>
          <w:rFonts w:asciiTheme="majorHAnsi" w:eastAsiaTheme="majorEastAsia" w:hAnsiTheme="majorHAnsi" w:cstheme="majorHAnsi"/>
          <w:color w:val="000000" w:themeColor="text1"/>
        </w:rPr>
        <w:t xml:space="preserve">AIFP zřídila </w:t>
      </w:r>
      <w:hyperlink r:id="rId8" w:history="1">
        <w:r w:rsidR="004F5650" w:rsidRPr="00000E4E">
          <w:rPr>
            <w:rStyle w:val="Hypertextovodkaz"/>
            <w:rFonts w:asciiTheme="majorHAnsi" w:eastAsiaTheme="majorEastAsia" w:hAnsiTheme="majorHAnsi" w:cstheme="majorHAnsi"/>
            <w:i/>
            <w:iCs/>
          </w:rPr>
          <w:t>bezplatnou online poradnu „Klinická hodnocení“</w:t>
        </w:r>
      </w:hyperlink>
      <w:r w:rsidR="004F5650" w:rsidRPr="00000E4E">
        <w:rPr>
          <w:rStyle w:val="Zdraznn"/>
          <w:rFonts w:asciiTheme="majorHAnsi" w:eastAsiaTheme="majorEastAsia" w:hAnsiTheme="majorHAnsi" w:cstheme="majorHAnsi"/>
          <w:i w:val="0"/>
          <w:iCs w:val="0"/>
          <w:color w:val="000000" w:themeColor="text1"/>
        </w:rPr>
        <w:t>,</w:t>
      </w:r>
      <w:r w:rsidR="004F5650" w:rsidRPr="00386689">
        <w:rPr>
          <w:rStyle w:val="Zdraznn"/>
          <w:rFonts w:asciiTheme="majorHAnsi" w:eastAsiaTheme="majorEastAsia" w:hAnsiTheme="majorHAnsi" w:cstheme="majorHAnsi"/>
          <w:color w:val="000000" w:themeColor="text1"/>
        </w:rPr>
        <w:t xml:space="preserve"> která pomáhá zájemcům z řad pacientů zjistit, zda jsou v ČR otevřené klinické studie vhodné právě pro ně.</w:t>
      </w:r>
      <w:r w:rsidR="004F5650" w:rsidRPr="00386689">
        <w:rPr>
          <w:rStyle w:val="Zdraznn"/>
          <w:rFonts w:asciiTheme="majorHAnsi" w:eastAsiaTheme="majorEastAsia" w:hAnsiTheme="majorHAnsi" w:cstheme="majorHAnsi"/>
          <w:color w:val="1A1A1A" w:themeColor="background1" w:themeShade="1A"/>
        </w:rPr>
        <w:t xml:space="preserve"> Další informace o klinickém hodnocení můžete získat</w:t>
      </w:r>
      <w:r w:rsidR="00FC6039">
        <w:rPr>
          <w:rStyle w:val="Zdraznn"/>
          <w:rFonts w:asciiTheme="majorHAnsi" w:eastAsiaTheme="majorEastAsia" w:hAnsiTheme="majorHAnsi" w:cstheme="majorHAnsi"/>
          <w:color w:val="1A1A1A" w:themeColor="background1" w:themeShade="1A"/>
        </w:rPr>
        <w:t xml:space="preserve"> od lékařů, ale i</w:t>
      </w:r>
      <w:r w:rsidR="004F5650" w:rsidRPr="00386689">
        <w:rPr>
          <w:rStyle w:val="Zdraznn"/>
          <w:rFonts w:asciiTheme="majorHAnsi" w:eastAsiaTheme="majorEastAsia" w:hAnsiTheme="majorHAnsi" w:cstheme="majorHAnsi"/>
          <w:color w:val="1A1A1A" w:themeColor="background1" w:themeShade="1A"/>
        </w:rPr>
        <w:t xml:space="preserve"> pacientsk</w:t>
      </w:r>
      <w:r w:rsidR="0081677D" w:rsidRPr="00386689">
        <w:rPr>
          <w:rStyle w:val="Zdraznn"/>
          <w:rFonts w:asciiTheme="majorHAnsi" w:eastAsiaTheme="majorEastAsia" w:hAnsiTheme="majorHAnsi" w:cstheme="majorHAnsi"/>
          <w:color w:val="1A1A1A" w:themeColor="background1" w:themeShade="1A"/>
        </w:rPr>
        <w:t>ých</w:t>
      </w:r>
      <w:r w:rsidR="004F5650" w:rsidRPr="00386689">
        <w:rPr>
          <w:rStyle w:val="Zdraznn"/>
          <w:rFonts w:asciiTheme="majorHAnsi" w:eastAsiaTheme="majorEastAsia" w:hAnsiTheme="majorHAnsi" w:cstheme="majorHAnsi"/>
          <w:color w:val="1A1A1A" w:themeColor="background1" w:themeShade="1A"/>
        </w:rPr>
        <w:t xml:space="preserve"> organizac</w:t>
      </w:r>
      <w:r w:rsidR="0081677D" w:rsidRPr="00386689">
        <w:rPr>
          <w:rStyle w:val="Zdraznn"/>
          <w:rFonts w:asciiTheme="majorHAnsi" w:eastAsiaTheme="majorEastAsia" w:hAnsiTheme="majorHAnsi" w:cstheme="majorHAnsi"/>
          <w:color w:val="1A1A1A" w:themeColor="background1" w:themeShade="1A"/>
        </w:rPr>
        <w:t>í</w:t>
      </w:r>
      <w:r>
        <w:rPr>
          <w:rStyle w:val="Zdraznn"/>
          <w:rFonts w:asciiTheme="majorHAnsi" w:eastAsiaTheme="majorEastAsia" w:hAnsiTheme="majorHAnsi" w:cstheme="majorHAnsi"/>
          <w:i w:val="0"/>
          <w:iCs w:val="0"/>
          <w:color w:val="1A1A1A" w:themeColor="background1" w:themeShade="1A"/>
        </w:rPr>
        <w:t xml:space="preserve">,“ doplňuje závěrem </w:t>
      </w:r>
      <w:r w:rsidR="00A53BC4">
        <w:rPr>
          <w:rStyle w:val="Zdraznn"/>
          <w:rFonts w:asciiTheme="majorHAnsi" w:eastAsiaTheme="majorEastAsia" w:hAnsiTheme="majorHAnsi" w:cstheme="majorHAnsi"/>
          <w:i w:val="0"/>
          <w:iCs w:val="0"/>
          <w:color w:val="1A1A1A" w:themeColor="background1" w:themeShade="1A"/>
        </w:rPr>
        <w:t xml:space="preserve">Mgr. </w:t>
      </w:r>
      <w:r>
        <w:rPr>
          <w:rStyle w:val="Zdraznn"/>
          <w:rFonts w:asciiTheme="majorHAnsi" w:eastAsiaTheme="majorEastAsia" w:hAnsiTheme="majorHAnsi" w:cstheme="majorHAnsi"/>
          <w:i w:val="0"/>
          <w:iCs w:val="0"/>
          <w:color w:val="1A1A1A" w:themeColor="background1" w:themeShade="1A"/>
        </w:rPr>
        <w:t>Kolář.</w:t>
      </w:r>
    </w:p>
    <w:p w14:paraId="4715D0FA" w14:textId="2EBEF341" w:rsidR="004F5650" w:rsidRDefault="004F5650" w:rsidP="004F5650"/>
    <w:p w14:paraId="7B1923D2" w14:textId="3D0045F7" w:rsidR="003069B0" w:rsidRDefault="007A4F5C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i/>
          <w:sz w:val="18"/>
          <w:szCs w:val="18"/>
        </w:rPr>
      </w:pPr>
      <w:r>
        <w:rPr>
          <w:b/>
          <w:i/>
          <w:color w:val="1C76AD"/>
          <w:sz w:val="18"/>
          <w:szCs w:val="18"/>
        </w:rPr>
        <w:t xml:space="preserve">O AIFP </w:t>
      </w:r>
    </w:p>
    <w:p w14:paraId="0E801CEA" w14:textId="5E9C7D94" w:rsidR="003069B0" w:rsidRDefault="007A4F5C">
      <w:pPr>
        <w:pBdr>
          <w:top w:val="nil"/>
          <w:left w:val="nil"/>
          <w:bottom w:val="nil"/>
          <w:right w:val="nil"/>
          <w:between w:val="nil"/>
        </w:pBd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Asociace inovativního farmaceutického průmyslu (AIFP) sdružuje 34 společností, které dokáží vyvinout a uvést na trh nové, účinnější a bezpečnější léky. AIFP je členem Evropské federace farmaceutických společností a asociací (EFPIA) a intenzivně spolupracuje s Mezinárodní federací farmaceutického průmyslu a asociací (IFPMA) a Americkou asociací inovativních farmaceutických firem (PhRMA). Mezi její aktuální projekty patří mj. studie Inovace pro život, jež mapuje přínosy inovativních léčiv v ČR v konkrétních terapeutických oblastech (např. karcinom prsu, revmatoidní artritida, roztroušená skleróza či diabetes mellitus 2. typu). Více informací na </w:t>
      </w:r>
      <w:hyperlink r:id="rId9">
        <w:r>
          <w:rPr>
            <w:i/>
            <w:color w:val="0000FF"/>
            <w:sz w:val="18"/>
            <w:szCs w:val="18"/>
            <w:u w:val="single"/>
          </w:rPr>
          <w:t>www.inovaceprozivot.cz</w:t>
        </w:r>
      </w:hyperlink>
      <w:r>
        <w:rPr>
          <w:i/>
          <w:sz w:val="18"/>
          <w:szCs w:val="18"/>
        </w:rPr>
        <w:t xml:space="preserve"> nebo  </w:t>
      </w:r>
      <w:hyperlink r:id="rId10">
        <w:r>
          <w:rPr>
            <w:i/>
            <w:color w:val="0000FF"/>
            <w:sz w:val="18"/>
            <w:szCs w:val="18"/>
            <w:u w:val="single"/>
          </w:rPr>
          <w:t>www.aifp.cz</w:t>
        </w:r>
      </w:hyperlink>
      <w:r>
        <w:rPr>
          <w:i/>
          <w:sz w:val="18"/>
          <w:szCs w:val="18"/>
        </w:rPr>
        <w:t xml:space="preserve">. </w:t>
      </w:r>
    </w:p>
    <w:p w14:paraId="63E1E697" w14:textId="77777777" w:rsidR="003069B0" w:rsidRPr="009B1D0F" w:rsidRDefault="007A4F5C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9B1D0F">
        <w:rPr>
          <w:b/>
          <w:color w:val="1C76AD"/>
        </w:rPr>
        <w:t xml:space="preserve">Pro další informace, prosím, kontaktujte: </w:t>
      </w:r>
    </w:p>
    <w:p w14:paraId="6C5827CA" w14:textId="77777777" w:rsidR="003069B0" w:rsidRPr="009B1D0F" w:rsidRDefault="007A4F5C">
      <w:pPr>
        <w:jc w:val="left"/>
        <w:rPr>
          <w:color w:val="FFFFFF"/>
        </w:rPr>
      </w:pPr>
      <w:r w:rsidRPr="009B1D0F">
        <w:rPr>
          <w:b/>
        </w:rPr>
        <w:t>Markéta Kolanová</w:t>
      </w:r>
      <w:r w:rsidRPr="009B1D0F">
        <w:t xml:space="preserve">, PR manager AIFP, e-mail: </w:t>
      </w:r>
      <w:hyperlink r:id="rId11">
        <w:r w:rsidRPr="009B1D0F">
          <w:rPr>
            <w:color w:val="0000FF"/>
            <w:u w:val="single"/>
          </w:rPr>
          <w:t>marketa.kolanova@aifp.cz</w:t>
        </w:r>
      </w:hyperlink>
      <w:r w:rsidRPr="009B1D0F">
        <w:t>, tel.: +420 734 623 626</w:t>
      </w:r>
      <w:r w:rsidRPr="009B1D0F">
        <w:rPr>
          <w:i/>
          <w:color w:val="FFFFFF"/>
        </w:rPr>
        <w:t>v</w:t>
      </w:r>
    </w:p>
    <w:sectPr w:rsidR="003069B0" w:rsidRPr="009B1D0F">
      <w:headerReference w:type="default" r:id="rId12"/>
      <w:footerReference w:type="default" r:id="rId13"/>
      <w:pgSz w:w="11900" w:h="16840"/>
      <w:pgMar w:top="2948" w:right="1418" w:bottom="1701" w:left="1418" w:header="1276" w:footer="48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51BC8" w14:textId="77777777" w:rsidR="00812AAF" w:rsidRDefault="00812AAF">
      <w:pPr>
        <w:spacing w:before="0" w:after="0"/>
      </w:pPr>
      <w:r>
        <w:separator/>
      </w:r>
    </w:p>
  </w:endnote>
  <w:endnote w:type="continuationSeparator" w:id="0">
    <w:p w14:paraId="6C80E6C9" w14:textId="77777777" w:rsidR="00812AAF" w:rsidRDefault="00812A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DB22" w14:textId="77777777" w:rsidR="003069B0" w:rsidRDefault="007A4F5C">
    <w:pPr>
      <w:pBdr>
        <w:top w:val="nil"/>
        <w:left w:val="nil"/>
        <w:bottom w:val="nil"/>
        <w:right w:val="nil"/>
        <w:between w:val="nil"/>
      </w:pBdr>
      <w:spacing w:before="0" w:after="0"/>
      <w:jc w:val="center"/>
      <w:rPr>
        <w:color w:val="808080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D694E96" wp14:editId="21A91BDA">
          <wp:simplePos x="0" y="0"/>
          <wp:positionH relativeFrom="column">
            <wp:posOffset>2192655</wp:posOffset>
          </wp:positionH>
          <wp:positionV relativeFrom="paragraph">
            <wp:posOffset>-191929</wp:posOffset>
          </wp:positionV>
          <wp:extent cx="1369867" cy="133350"/>
          <wp:effectExtent l="0" t="0" r="1905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9867" cy="133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A4205" w14:textId="77777777" w:rsidR="00812AAF" w:rsidRDefault="00812AAF">
      <w:pPr>
        <w:spacing w:before="0" w:after="0"/>
      </w:pPr>
      <w:r>
        <w:separator/>
      </w:r>
    </w:p>
  </w:footnote>
  <w:footnote w:type="continuationSeparator" w:id="0">
    <w:p w14:paraId="78D6214E" w14:textId="77777777" w:rsidR="00812AAF" w:rsidRDefault="00812AAF">
      <w:pPr>
        <w:spacing w:before="0" w:after="0"/>
      </w:pPr>
      <w:r>
        <w:continuationSeparator/>
      </w:r>
    </w:p>
  </w:footnote>
  <w:footnote w:id="1">
    <w:p w14:paraId="276DC2E2" w14:textId="11EF17F9" w:rsidR="004F5650" w:rsidRPr="004E435F" w:rsidRDefault="004F5650" w:rsidP="004E435F">
      <w:pPr>
        <w:spacing w:before="0" w:after="0"/>
        <w:rPr>
          <w:sz w:val="18"/>
          <w:szCs w:val="18"/>
        </w:rPr>
      </w:pPr>
      <w:r w:rsidRPr="004E435F">
        <w:rPr>
          <w:rStyle w:val="Znakapoznpodarou"/>
          <w:sz w:val="18"/>
          <w:szCs w:val="18"/>
        </w:rPr>
        <w:footnoteRef/>
      </w:r>
      <w:r w:rsidRPr="004E435F">
        <w:rPr>
          <w:sz w:val="18"/>
          <w:szCs w:val="18"/>
        </w:rPr>
        <w:t xml:space="preserve"> Crohnova choroba může postihovat téměř celou trávicí trubici od úst až po konečnou část tlustého střeva. Hlavním příznakem je bolest břicha a průjem s bolestivým vyprazdňováním. K nejvážnějším komplikacím IBD patří vznik hlubokých vředů ve střevní sliznici, jež mohou vést (vzácně) i k proděravění střeva se všemi život ohrožujícími důsledky. Díky vysoce inovativním léčivým přípravkům výrazně stoupla kvalita života pacientů a značně se snížila úmrtnost, zkrátily se hospitalizace a dopady na zdravotnický i sociální rozpočet jsou tak nižší. Více viz: </w:t>
      </w:r>
      <w:hyperlink r:id="rId1" w:history="1">
        <w:r w:rsidRPr="004E435F">
          <w:rPr>
            <w:rStyle w:val="Hypertextovodkaz"/>
            <w:sz w:val="18"/>
            <w:szCs w:val="18"/>
          </w:rPr>
          <w:t>https://inovaceprozivot.cz/cs/pokroky-v-lecbe/idiopaticke-strevni-zanety/</w:t>
        </w:r>
      </w:hyperlink>
      <w:r w:rsidRPr="004E435F">
        <w:rPr>
          <w:sz w:val="18"/>
          <w:szCs w:val="18"/>
        </w:rPr>
        <w:t xml:space="preserve"> </w:t>
      </w:r>
    </w:p>
  </w:footnote>
  <w:footnote w:id="2">
    <w:p w14:paraId="4694A426" w14:textId="1ED07FE3" w:rsidR="0081677D" w:rsidRDefault="008167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06D19">
        <w:t>Účast na klinickém hodnocení je dobrovolná, účast lze kdykoliv zrušit odebráním informovaného souhlasu.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A8FD" w14:textId="77777777" w:rsidR="003069B0" w:rsidRDefault="007A4F5C">
    <w:pPr>
      <w:pStyle w:val="Nadpis1"/>
      <w:ind w:firstLine="170"/>
    </w:pPr>
    <w:r>
      <w:t>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5C2694F" wp14:editId="7E4EBB03">
          <wp:simplePos x="0" y="0"/>
          <wp:positionH relativeFrom="column">
            <wp:posOffset>4027317</wp:posOffset>
          </wp:positionH>
          <wp:positionV relativeFrom="paragraph">
            <wp:posOffset>-387984</wp:posOffset>
          </wp:positionV>
          <wp:extent cx="1649094" cy="1166400"/>
          <wp:effectExtent l="0" t="0" r="0" b="0"/>
          <wp:wrapNone/>
          <wp:docPr id="2" name="image1.png" descr="Macintosh HD:Users:jakubkalivoda:Desktop:AIFP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jakubkalivoda:Desktop:AIFP_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9094" cy="116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10EB0"/>
    <w:multiLevelType w:val="hybridMultilevel"/>
    <w:tmpl w:val="7D84BD02"/>
    <w:lvl w:ilvl="0" w:tplc="32B8103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C16E9A"/>
    <w:multiLevelType w:val="hybridMultilevel"/>
    <w:tmpl w:val="CE1243D8"/>
    <w:lvl w:ilvl="0" w:tplc="04CE9848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color w:val="365F91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F766B"/>
    <w:multiLevelType w:val="hybridMultilevel"/>
    <w:tmpl w:val="78BE9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408300">
    <w:abstractNumId w:val="2"/>
  </w:num>
  <w:num w:numId="2" w16cid:durableId="641732199">
    <w:abstractNumId w:val="1"/>
  </w:num>
  <w:num w:numId="3" w16cid:durableId="10493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9B0"/>
    <w:rsid w:val="00000E4E"/>
    <w:rsid w:val="000131EC"/>
    <w:rsid w:val="000170A7"/>
    <w:rsid w:val="00037E98"/>
    <w:rsid w:val="0008441F"/>
    <w:rsid w:val="000A6E1C"/>
    <w:rsid w:val="000B266B"/>
    <w:rsid w:val="000B35BE"/>
    <w:rsid w:val="000B498F"/>
    <w:rsid w:val="000C091D"/>
    <w:rsid w:val="000C5A0A"/>
    <w:rsid w:val="000C5CF6"/>
    <w:rsid w:val="00171CC2"/>
    <w:rsid w:val="00180963"/>
    <w:rsid w:val="00196771"/>
    <w:rsid w:val="00213FB3"/>
    <w:rsid w:val="002E7384"/>
    <w:rsid w:val="003008A5"/>
    <w:rsid w:val="003069B0"/>
    <w:rsid w:val="003103D3"/>
    <w:rsid w:val="00370C48"/>
    <w:rsid w:val="0037330F"/>
    <w:rsid w:val="00386689"/>
    <w:rsid w:val="003955C4"/>
    <w:rsid w:val="003F1751"/>
    <w:rsid w:val="003F7893"/>
    <w:rsid w:val="00424F59"/>
    <w:rsid w:val="00461A7C"/>
    <w:rsid w:val="004D0125"/>
    <w:rsid w:val="004E435F"/>
    <w:rsid w:val="004F5650"/>
    <w:rsid w:val="004F65DE"/>
    <w:rsid w:val="0055702F"/>
    <w:rsid w:val="005B241C"/>
    <w:rsid w:val="005C3F23"/>
    <w:rsid w:val="005D2AFA"/>
    <w:rsid w:val="00620B11"/>
    <w:rsid w:val="006415AC"/>
    <w:rsid w:val="0067739A"/>
    <w:rsid w:val="006928B3"/>
    <w:rsid w:val="006E6387"/>
    <w:rsid w:val="00715FF1"/>
    <w:rsid w:val="0073694A"/>
    <w:rsid w:val="007522A1"/>
    <w:rsid w:val="007535B8"/>
    <w:rsid w:val="00772366"/>
    <w:rsid w:val="00773BC2"/>
    <w:rsid w:val="0078347B"/>
    <w:rsid w:val="007901CD"/>
    <w:rsid w:val="007903DB"/>
    <w:rsid w:val="007A4F5C"/>
    <w:rsid w:val="007C676F"/>
    <w:rsid w:val="007F26A2"/>
    <w:rsid w:val="007F5641"/>
    <w:rsid w:val="00812AAF"/>
    <w:rsid w:val="0081677D"/>
    <w:rsid w:val="00835958"/>
    <w:rsid w:val="00837C3F"/>
    <w:rsid w:val="00860836"/>
    <w:rsid w:val="00874092"/>
    <w:rsid w:val="00897360"/>
    <w:rsid w:val="0090079E"/>
    <w:rsid w:val="0093183D"/>
    <w:rsid w:val="009B1D0F"/>
    <w:rsid w:val="009D2165"/>
    <w:rsid w:val="00A47440"/>
    <w:rsid w:val="00A53BC4"/>
    <w:rsid w:val="00A628EC"/>
    <w:rsid w:val="00AD5C59"/>
    <w:rsid w:val="00B06D19"/>
    <w:rsid w:val="00B10AAD"/>
    <w:rsid w:val="00B474A3"/>
    <w:rsid w:val="00B568AE"/>
    <w:rsid w:val="00B57D60"/>
    <w:rsid w:val="00BB3576"/>
    <w:rsid w:val="00C44047"/>
    <w:rsid w:val="00CA4D68"/>
    <w:rsid w:val="00CB5538"/>
    <w:rsid w:val="00CC4AB7"/>
    <w:rsid w:val="00CD1000"/>
    <w:rsid w:val="00D53CFA"/>
    <w:rsid w:val="00D635D4"/>
    <w:rsid w:val="00DF259A"/>
    <w:rsid w:val="00E40C93"/>
    <w:rsid w:val="00E50760"/>
    <w:rsid w:val="00E93C31"/>
    <w:rsid w:val="00E95A52"/>
    <w:rsid w:val="00EA23A4"/>
    <w:rsid w:val="00EC5217"/>
    <w:rsid w:val="00EE6907"/>
    <w:rsid w:val="00EF6A8E"/>
    <w:rsid w:val="00F3626B"/>
    <w:rsid w:val="00FB27D8"/>
    <w:rsid w:val="00FC6039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59BD"/>
  <w15:docId w15:val="{414F8D6F-08CF-B341-817D-81F5D93D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pBdr>
        <w:left w:val="single" w:sz="18" w:space="5" w:color="A6A6A6"/>
      </w:pBdr>
      <w:spacing w:before="0" w:after="0"/>
      <w:ind w:left="170"/>
      <w:jc w:val="left"/>
      <w:outlineLvl w:val="0"/>
    </w:pPr>
    <w:rPr>
      <w:b/>
      <w:smallCaps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spacing w:before="240" w:after="0"/>
      <w:outlineLvl w:val="1"/>
    </w:pPr>
    <w:rPr>
      <w:color w:val="0073AB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626B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626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626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E690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32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324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474A3"/>
    <w:pPr>
      <w:tabs>
        <w:tab w:val="center" w:pos="4703"/>
        <w:tab w:val="right" w:pos="9406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B474A3"/>
  </w:style>
  <w:style w:type="paragraph" w:styleId="Zpat">
    <w:name w:val="footer"/>
    <w:basedOn w:val="Normln"/>
    <w:link w:val="ZpatChar"/>
    <w:uiPriority w:val="99"/>
    <w:unhideWhenUsed/>
    <w:rsid w:val="00B474A3"/>
    <w:pPr>
      <w:tabs>
        <w:tab w:val="center" w:pos="4703"/>
        <w:tab w:val="right" w:pos="9406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B474A3"/>
  </w:style>
  <w:style w:type="character" w:styleId="Hypertextovodkaz">
    <w:name w:val="Hyperlink"/>
    <w:basedOn w:val="Standardnpsmoodstavce"/>
    <w:uiPriority w:val="99"/>
    <w:unhideWhenUsed/>
    <w:rsid w:val="004F5650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4F5650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81677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20B11"/>
    <w:pPr>
      <w:widowControl/>
      <w:spacing w:before="0"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fp.cz/cs/klinicka-hodnoceni-online-poradna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keta.kolanova@aifp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if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ovaceprozivot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ovaceprozivot.cz/cs/pokroky-v-lecbe/idiopaticke-strevni-zanet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1099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IVPI (Iva Piljarova)</dc:creator>
  <cp:lastModifiedBy>Markéta Kolanová | AIFP</cp:lastModifiedBy>
  <cp:revision>14</cp:revision>
  <cp:lastPrinted>2022-05-23T07:50:00Z</cp:lastPrinted>
  <dcterms:created xsi:type="dcterms:W3CDTF">2022-05-23T06:58:00Z</dcterms:created>
  <dcterms:modified xsi:type="dcterms:W3CDTF">2022-05-23T08:17:00Z</dcterms:modified>
</cp:coreProperties>
</file>